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2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hlraumboden - Neubau Stadthaus 4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ass- und Trockenhohlraumboden auf 12.800m2 über fünf Etagen und vier Bauteil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